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1ab2f4ffc7431b152ed6c8d0eaa4e87de8a142"/>
    <w:p>
      <w:pPr>
        <w:pStyle w:val="Heading1"/>
      </w:pPr>
      <w:r>
        <w:t xml:space="preserve">Real Numbers — Answer Key: BOARD SYLLABUS Question Bank</w:t>
      </w:r>
    </w:p>
    <w:p>
      <w:pPr>
        <w:pStyle w:val="FirstParagraph"/>
      </w:pPr>
      <w:r>
        <w:rPr>
          <w:bCs/>
          <w:b/>
        </w:rPr>
        <w:t xml:space="preserve">Chapter ID:</w:t>
      </w:r>
      <w:r>
        <w:t xml:space="preserve"> </w:t>
      </w:r>
      <w:r>
        <w:t xml:space="preserve">MT10CBSE-MATH-RN. Every answer below was independently re-derived for this project (not copied from any source answer key).</w:t>
      </w:r>
    </w:p>
    <w:p>
      <w:pPr>
        <w:pStyle w:val="BodyText"/>
      </w:pPr>
      <w:r>
        <w:rPr>
          <w:bCs/>
          <w:b/>
        </w:rPr>
        <w:t xml:space="preserve">RN-T10-N01.</w:t>
      </w:r>
      <w:r>
        <w:t xml:space="preserve"> </w:t>
      </w:r>
      <w:r>
        <w:t xml:space="preserve">(c) 9 —</w:t>
      </w:r>
      <w:r>
        <w:t xml:space="preserve"> </w:t>
      </w:r>
      <m:oMath>
        <m:r>
          <m:t>18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,</m:t>
        </m:r>
        <m:r>
          <m:t> </m:t>
        </m:r>
        <m:r>
          <m:t>45</m:t>
        </m:r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5</m:t>
        </m:r>
      </m:oMath>
      <w:r>
        <w:t xml:space="preserve">, HCF</w:t>
      </w:r>
      <w:r>
        <w:t xml:space="preserve"> </w:t>
      </w:r>
      <m:oMath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RN-T10-N02.</w:t>
      </w:r>
      <w:r>
        <w:t xml:space="preserve"> </w:t>
      </w:r>
      <w:r>
        <w:t xml:space="preserve">(c) 5 —</w:t>
      </w:r>
      <w:r>
        <w:t xml:space="preserve"> </w:t>
      </w:r>
      <m:oMath>
        <m:r>
          <m:t>96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5</m:t>
            </m:r>
          </m:sup>
        </m:sSup>
        <m:r>
          <m:rPr>
            <m:sty m:val="p"/>
          </m:rPr>
          <m:t>×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RN-T05-N01.</w:t>
      </w:r>
      <w:r>
        <w:t xml:space="preserve"> </w:t>
      </w:r>
      <w:r>
        <w:t xml:space="preserve">(b)</w:t>
      </w:r>
      <w:r>
        <w:t xml:space="preserve"> </w:t>
      </w:r>
      <m:oMath>
        <m:rad>
          <m:radPr>
            <m:degHide m:val="on"/>
          </m:radPr>
          <m:deg/>
          <m:e>
            <m:r>
              <m:t>27</m:t>
            </m:r>
          </m:e>
        </m:rad>
        <m:r>
          <m:rPr>
            <m:sty m:val="p"/>
          </m:rPr>
          <m:t>=</m:t>
        </m:r>
        <m:r>
          <m:t>3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 irrational.</w:t>
      </w:r>
    </w:p>
    <w:p>
      <w:pPr>
        <w:pStyle w:val="BodyText"/>
      </w:pPr>
      <w:r>
        <w:rPr>
          <w:bCs/>
          <w:b/>
        </w:rPr>
        <w:t xml:space="preserve">RN-T09-N01.</w:t>
      </w:r>
      <w:r>
        <w:t xml:space="preserve"> </w:t>
      </w:r>
      <w:r>
        <w:t xml:space="preserve">(a) — statement of FTA.</w:t>
      </w:r>
    </w:p>
    <w:p>
      <w:pPr>
        <w:pStyle w:val="BodyText"/>
      </w:pPr>
      <w:r>
        <w:rPr>
          <w:bCs/>
          <w:b/>
        </w:rPr>
        <w:t xml:space="preserve">RN-T10-N03.</w:t>
      </w:r>
      <w:r>
        <w:t xml:space="preserve"> </w:t>
      </w:r>
      <m:oMath>
        <m:r>
          <m:t>432</m:t>
        </m:r>
      </m:oMath>
      <w:r>
        <w:t xml:space="preserve"> </w:t>
      </w:r>
      <w:r>
        <w:t xml:space="preserve">— equals</w:t>
      </w:r>
      <w:r>
        <w:t xml:space="preserve"> </w:t>
      </w:r>
      <m:oMath>
        <m:r>
          <m:t>18</m:t>
        </m:r>
        <m:r>
          <m:rPr>
            <m:sty m:val="p"/>
          </m:rPr>
          <m:t>×</m:t>
        </m:r>
        <m:r>
          <m:t>24</m:t>
        </m:r>
      </m:oMath>
      <w:r>
        <w:t xml:space="preserve"> </w:t>
      </w:r>
      <w:r>
        <w:t xml:space="preserve">by the HCF–LCM identity.</w:t>
      </w:r>
    </w:p>
    <w:p>
      <w:pPr>
        <w:pStyle w:val="BodyText"/>
      </w:pPr>
      <w:r>
        <w:rPr>
          <w:bCs/>
          <w:b/>
        </w:rPr>
        <w:t xml:space="preserve">RN-T05-N02.</w:t>
      </w:r>
      <w:r>
        <w:t xml:space="preserve"> </w:t>
      </w:r>
      <w:r>
        <w:t xml:space="preserve">irrational.</w:t>
      </w:r>
    </w:p>
    <w:p>
      <w:pPr>
        <w:pStyle w:val="BodyText"/>
      </w:pPr>
      <w:r>
        <w:rPr>
          <w:bCs/>
          <w:b/>
        </w:rPr>
        <w:t xml:space="preserve">RN-T10-N04.</w:t>
      </w:r>
      <w:r>
        <w:t xml:space="preserve"> </w:t>
      </w:r>
      <w:r>
        <w:rPr>
          <w:bCs/>
          <w:b/>
        </w:rPr>
        <w:t xml:space="preserve">False.</w:t>
      </w:r>
      <w:r>
        <w:t xml:space="preserve"> </w:t>
      </w:r>
      <w:r>
        <w:t xml:space="preserve">The identity HCF×LCM = product holds only for two numbers. Example: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— HCF</w:t>
      </w:r>
      <m:oMath>
        <m:r>
          <m:rPr>
            <m:sty m:val="p"/>
          </m:rPr>
          <m:t>=</m:t>
        </m:r>
        <m:r>
          <m:t>2</m:t>
        </m:r>
      </m:oMath>
      <w:r>
        <w:t xml:space="preserve">, LCM</w:t>
      </w:r>
      <m:oMath>
        <m:r>
          <m:rPr>
            <m:sty m:val="p"/>
          </m:rPr>
          <m:t>=</m:t>
        </m:r>
        <m:r>
          <m:t>24</m:t>
        </m:r>
      </m:oMath>
      <w:r>
        <w:t xml:space="preserve">,</w:t>
      </w:r>
      <w:r>
        <w:t xml:space="preserve"> </w:t>
      </w:r>
      <m:oMath>
        <m:r>
          <m:rPr>
            <m:nor/>
            <m:sty m:val="p"/>
          </m:rPr>
          <m:t>HCF</m:t>
        </m:r>
        <m:r>
          <m:rPr>
            <m:sty m:val="p"/>
          </m:rPr>
          <m:t>×</m:t>
        </m:r>
        <m:r>
          <m:rPr>
            <m:nor/>
            <m:sty m:val="p"/>
          </m:rPr>
          <m:t>LCM</m:t>
        </m:r>
        <m:r>
          <m:rPr>
            <m:sty m:val="p"/>
          </m:rPr>
          <m:t>=</m:t>
        </m:r>
        <m:r>
          <m:t>48</m:t>
        </m:r>
        <m:r>
          <m:rPr>
            <m:sty m:val="p"/>
          </m:rPr>
          <m:t>≠</m:t>
        </m:r>
        <m:r>
          <m:t>192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×</m:t>
        </m:r>
        <m:r>
          <m:t>8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RN-T05-N03.</w:t>
      </w:r>
      <w:r>
        <w:t xml:space="preserve"> </w:t>
      </w:r>
      <w:r>
        <w:rPr>
          <w:bCs/>
          <w:b/>
        </w:rPr>
        <w:t xml:space="preserve">False.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is irrational (square it:</w:t>
      </w:r>
      <w:r>
        <w:t xml:space="preserve"> </w:t>
      </w:r>
      <m:oMath>
        <m:r>
          <m:t>5</m:t>
        </m:r>
        <m:r>
          <m:rPr>
            <m:sty m:val="p"/>
          </m:rPr>
          <m:t>+</m:t>
        </m:r>
        <m:r>
          <m:t>2</m:t>
        </m:r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, and</w:t>
      </w:r>
      <w:r>
        <w:t xml:space="preserve"> </w:t>
      </w:r>
      <m:oMath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 </w:t>
      </w:r>
      <w:r>
        <w:t xml:space="preserve">is irrational since 6 is not a perfect square, so the sum is irrational; hence the original could not have been rational either).</w:t>
      </w:r>
    </w:p>
    <w:p>
      <w:pPr>
        <w:pStyle w:val="BodyText"/>
      </w:pPr>
      <w:r>
        <w:rPr>
          <w:bCs/>
          <w:b/>
        </w:rPr>
        <w:t xml:space="preserve">RN-T09-N02.</w:t>
      </w:r>
      <w:r>
        <w:t xml:space="preserve"> </w:t>
      </w:r>
      <w:r>
        <w:t xml:space="preserve">(a) — both true, R correctly explains A.</w:t>
      </w:r>
    </w:p>
    <w:p>
      <w:pPr>
        <w:pStyle w:val="BodyText"/>
      </w:pPr>
      <w:r>
        <w:rPr>
          <w:bCs/>
          <w:b/>
        </w:rPr>
        <w:t xml:space="preserve">RN-T10-N05.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—</w:t>
      </w:r>
      <w:r>
        <w:t xml:space="preserve"> </w:t>
      </w:r>
      <m:oMath>
        <m:r>
          <m:t>96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5</m:t>
            </m:r>
          </m:sup>
        </m:sSup>
        <m:r>
          <m:rPr>
            <m:sty m:val="p"/>
          </m:rPr>
          <m:t>×</m:t>
        </m:r>
        <m:r>
          <m:t>3</m:t>
        </m:r>
        <m:r>
          <m:rPr>
            <m:sty m:val="p"/>
          </m:rPr>
          <m:t>,</m:t>
        </m:r>
        <m:r>
          <m:t> </m:t>
        </m:r>
        <m:r>
          <m:t>404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101</m:t>
        </m:r>
      </m:oMath>
      <w:r>
        <w:t xml:space="preserve">, HCF</w:t>
      </w:r>
      <w:r>
        <w:t xml:space="preserve"> </w:t>
      </w:r>
      <m:oMath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RN-T05-N04.</w:t>
      </w:r>
      <w:r>
        <w:t xml:space="preserve"> </w:t>
      </w:r>
      <w:r>
        <w:t xml:space="preserve">Irrational (non-zero rational × irrational).</w:t>
      </w:r>
    </w:p>
    <w:p>
      <w:pPr>
        <w:pStyle w:val="BodyText"/>
      </w:pPr>
      <w:r>
        <w:rPr>
          <w:bCs/>
          <w:b/>
        </w:rPr>
        <w:t xml:space="preserve">RN-T05-N05.</w:t>
      </w:r>
      <w:r>
        <w:t xml:space="preserve"> </w:t>
      </w:r>
      <w:r>
        <w:rPr>
          <w:iCs/>
          <w:i/>
        </w:rPr>
        <w:t xml:space="preserve">(Full 6-step proof — see Proof Toolkit, Proof 3.)</w:t>
      </w:r>
    </w:p>
    <w:p>
      <w:pPr>
        <w:pStyle w:val="BodyText"/>
      </w:pPr>
      <w:r>
        <w:rPr>
          <w:bCs/>
          <w:b/>
        </w:rPr>
        <w:t xml:space="preserve">RN-T10-N06.</w:t>
      </w:r>
      <w:r>
        <w:t xml:space="preserve"> </w:t>
      </w:r>
      <w:r>
        <w:t xml:space="preserve">HCF</w:t>
      </w:r>
      <w:r>
        <w:t xml:space="preserve"> </w:t>
      </w:r>
      <m:oMath>
        <m:r>
          <m:rPr>
            <m:sty m:val="p"/>
          </m:rPr>
          <m:t>=</m:t>
        </m:r>
        <m:r>
          <m:t>13</m:t>
        </m:r>
      </m:oMath>
      <w:r>
        <w:t xml:space="preserve">, LCM</w:t>
      </w:r>
      <w:r>
        <w:t xml:space="preserve"> </w:t>
      </w:r>
      <m:oMath>
        <m:r>
          <m:rPr>
            <m:sty m:val="p"/>
          </m:rPr>
          <m:t>=</m:t>
        </m:r>
        <m:r>
          <m:t>182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RN-T05-N06.</w:t>
      </w:r>
      <w:r>
        <w:t xml:space="preserve"> </w:t>
      </w:r>
      <w:r>
        <w:rPr>
          <w:iCs/>
          <w:i/>
        </w:rPr>
        <w:t xml:space="preserve">(Full proof — see Proof Toolkit, Proof 6.)</w:t>
      </w:r>
    </w:p>
    <w:p>
      <w:pPr>
        <w:pStyle w:val="BodyText"/>
      </w:pPr>
      <w:r>
        <w:rPr>
          <w:bCs/>
          <w:b/>
        </w:rPr>
        <w:t xml:space="preserve">RN-T12-N01.</w:t>
      </w:r>
      <w:r>
        <w:t xml:space="preserve"> </w:t>
      </w:r>
      <m:oMath>
        <m:r>
          <m:t>170</m:t>
        </m:r>
      </m:oMath>
      <w:r>
        <w:t xml:space="preserve"> </w:t>
      </w:r>
      <w:r>
        <w:t xml:space="preserve">litres —</w:t>
      </w:r>
      <w:r>
        <w:t xml:space="preserve"> </w:t>
      </w:r>
      <m:oMath>
        <m:r>
          <m:rPr>
            <m:nor/>
            <m:sty m:val="p"/>
          </m:rPr>
          <m:t>HCF</m:t>
        </m:r>
        <m:d>
          <m:dPr>
            <m:begChr m:val="("/>
            <m:endChr m:val=")"/>
            <m:sepChr m:val=""/>
            <m:grow/>
          </m:dPr>
          <m:e>
            <m:r>
              <m:t>850</m:t>
            </m:r>
            <m:r>
              <m:rPr>
                <m:sty m:val="p"/>
              </m:rPr>
              <m:t>,</m:t>
            </m:r>
            <m:r>
              <m:t>680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r>
          <m:t>17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RN-T05-N07.</w:t>
      </w:r>
      <w:r>
        <w:t xml:space="preserve"> </w:t>
      </w:r>
      <w:r>
        <w:rPr>
          <w:iCs/>
          <w:i/>
        </w:rPr>
        <w:t xml:space="preserve">(Full general proof + application — see Detailed Solutions.)</w:t>
      </w:r>
    </w:p>
    <w:p>
      <w:pPr>
        <w:pStyle w:val="BodyText"/>
      </w:pPr>
      <w:r>
        <w:rPr>
          <w:bCs/>
          <w:b/>
        </w:rPr>
        <w:t xml:space="preserve">RN-T12-N02.</w:t>
      </w:r>
      <w:r>
        <w:t xml:space="preserve"> </w:t>
      </w:r>
      <w:r>
        <w:t xml:space="preserve">(i) 12 participants/room. (ii) Hindi 5, English 7, Maths 9 rooms — total 21. (iii) LCM</w:t>
      </w:r>
      <m:oMath>
        <m:d>
          <m:dPr>
            <m:begChr m:val="("/>
            <m:endChr m:val=")"/>
            <m:sepChr m:val=""/>
            <m:grow/>
          </m:dPr>
          <m:e>
            <m:r>
              <m:t>60</m:t>
            </m:r>
            <m:r>
              <m:rPr>
                <m:sty m:val="p"/>
              </m:rPr>
              <m:t>,</m:t>
            </m:r>
            <m:r>
              <m:t>84</m:t>
            </m:r>
            <m:r>
              <m:rPr>
                <m:sty m:val="p"/>
              </m:rPr>
              <m:t>,</m:t>
            </m:r>
            <m:r>
              <m:t>108</m:t>
            </m:r>
          </m:e>
        </m:d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=</m:t>
        </m:r>
        <m:r>
          <m:t>3780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RN-T10-N07.</w:t>
      </w:r>
      <w:r>
        <w:t xml:space="preserve"> </w:t>
      </w:r>
      <w:r>
        <w:t xml:space="preserve">HCF</w:t>
      </w:r>
      <w:r>
        <w:t xml:space="preserve"> </w:t>
      </w:r>
      <m:oMath>
        <m:r>
          <m:rPr>
            <m:sty m:val="p"/>
          </m:rPr>
          <m:t>=</m:t>
        </m:r>
        <m:r>
          <m:t>x</m:t>
        </m:r>
        <m:r>
          <m:t>y</m:t>
        </m:r>
      </m:oMath>
      <w:r>
        <w:t xml:space="preserve">; LCM</w:t>
      </w:r>
      <w:r>
        <w:t xml:space="preserve"> </w:t>
      </w:r>
      <m:oMath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y</m:t>
            </m:r>
          </m:e>
          <m:sup>
            <m:r>
              <m:t>2</m:t>
            </m:r>
          </m:sup>
        </m:sSup>
        <m:r>
          <m:t>z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RN-T05-N08.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  <m:r>
                  <m:rPr>
                    <m:sty m:val="p"/>
                  </m:rPr>
                  <m:t>+</m:t>
                </m:r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2</m:t>
        </m:r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, irrational since</w:t>
      </w:r>
      <w:r>
        <w:t xml:space="preserve"> </w:t>
      </w:r>
      <m:oMath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 </w:t>
      </w:r>
      <w:r>
        <w:t xml:space="preserve">is irrational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irrational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m:oMath>
        <m:r>
          <m:t>x</m:t>
        </m:r>
      </m:oMath>
      <w:r>
        <w:t xml:space="preserve"> </w:t>
      </w:r>
      <w:r>
        <w:t xml:space="preserve">cannot be rational (a rational squared is always rational)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m:oMath>
        <m:r>
          <m:t>x</m:t>
        </m:r>
      </m:oMath>
      <w:r>
        <w:t xml:space="preserve"> </w:t>
      </w:r>
      <w:r>
        <w:t xml:space="preserve">is irrational.</w:t>
      </w:r>
    </w:p>
    <w:bookmarkEnd w:id="20"/>
    <w:sectPr>
      <w:pgMar w:bottom="1134" w:left="1247" w:right="1247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line="276" w:lineRule="auto"/>
    </w:pPr>
    <w:rPr>
      <w:rFonts w:ascii="Calibri" w:hAnsi="Calibri"/>
      <w:color w:val="222222"/>
      <w:sz w:val="22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1B3A5C"/>
      <w:sz w:val="6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360"/>
      <w:outlineLvl w:val="0"/>
      <w:pBdr>
        <w:bottom w:color="1B3A5C" w:space="4" w:sz="12" w:val="single"/>
      </w:pBdr>
    </w:pPr>
    <w:rPr>
      <w:rFonts w:ascii="Calibri" w:asciiTheme="majorHAnsi" w:cstheme="majorBidi" w:eastAsiaTheme="majorEastAsia" w:hAnsi="Calibri" w:hAnsiTheme="majorHAnsi"/>
      <w:b/>
      <w:bCs/>
      <w:color w:val="1B3A5C"/>
      <w:sz w:val="4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80"/>
      <w:outlineLvl w:val="1"/>
    </w:pPr>
    <w:rPr>
      <w:rFonts w:ascii="Calibri" w:asciiTheme="majorHAnsi" w:cstheme="majorBidi" w:eastAsiaTheme="majorEastAsia" w:hAnsi="Calibri" w:hAnsiTheme="majorHAnsi"/>
      <w:b/>
      <w:bCs/>
      <w:color w:val="0F767A"/>
      <w:sz w:val="30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80" w:before="200"/>
      <w:outlineLvl w:val="2"/>
    </w:pPr>
    <w:rPr>
      <w:rFonts w:ascii="Calibri" w:asciiTheme="majorHAnsi" w:cstheme="majorBidi" w:eastAsiaTheme="majorEastAsia" w:hAnsi="Calibri" w:hAnsiTheme="majorHAnsi"/>
      <w:b/>
      <w:bCs/>
      <w:i w:val="0"/>
      <w:color w:val="B55A00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80" w:before="200"/>
      <w:outlineLvl w:val="3"/>
    </w:pPr>
    <w:rPr>
      <w:rFonts w:ascii="Calibri" w:asciiTheme="majorHAnsi" w:cstheme="majorBidi" w:eastAsiaTheme="majorEastAsia" w:hAnsi="Calibri" w:hAnsiTheme="majorHAnsi"/>
      <w:i w:val="0"/>
      <w:b/>
      <w:bCs/>
      <w:color w:val="0F767A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20"/>
      <w:ind w:firstLine="0" w:left="283" w:right="283"/>
      <w:shd w:color="auto" w:fill="FFF3D9" w:val="clear"/>
      <w:pBdr>
        <w:left w:color="B55A00" w:space="8" w:sz="18" w:val="single"/>
      </w:pBdr>
    </w:pPr>
    <w:rPr>
      <w:rFonts w:ascii="Calibri" w:hAnsi="Calibri"/>
      <w:i w:val="0"/>
      <w:color w:val="3D2B00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2026-09-16T02:06:04Z</dcterms:created>
  <dcterms:modified xsi:type="dcterms:W3CDTF">2026-09-16T02:06:04Z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